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79D70" w14:textId="77777777" w:rsidR="00917812" w:rsidRPr="00C72BB2" w:rsidRDefault="00917812" w:rsidP="00917812">
      <w:pPr>
        <w:rPr>
          <w:rFonts w:asciiTheme="minorHAnsi" w:eastAsia="Times New Roman" w:hAnsiTheme="minorHAnsi" w:cstheme="minorHAnsi"/>
          <w:b/>
          <w:bCs/>
          <w:lang w:eastAsia="ru-RU"/>
        </w:rPr>
      </w:pPr>
      <w:r w:rsidRPr="00C72BB2">
        <w:rPr>
          <w:rFonts w:asciiTheme="minorHAnsi" w:hAnsiTheme="minorHAnsi" w:cstheme="minorHAnsi"/>
          <w:b/>
          <w:bCs/>
        </w:rPr>
        <w:t xml:space="preserve">Paziņojums </w:t>
      </w:r>
      <w:r w:rsidRPr="00C72BB2">
        <w:rPr>
          <w:rFonts w:asciiTheme="minorHAnsi" w:eastAsia="Times New Roman" w:hAnsiTheme="minorHAnsi" w:cstheme="minorHAnsi"/>
          <w:b/>
          <w:bCs/>
          <w:lang w:eastAsia="ru-RU"/>
        </w:rPr>
        <w:t xml:space="preserve">par fizisku personu datu apstrādi </w:t>
      </w:r>
      <w:r>
        <w:rPr>
          <w:rFonts w:asciiTheme="minorHAnsi" w:eastAsia="Times New Roman" w:hAnsiTheme="minorHAnsi" w:cstheme="minorHAnsi"/>
          <w:b/>
          <w:bCs/>
          <w:lang w:eastAsia="ru-RU"/>
        </w:rPr>
        <w:t>“Trīs Zvaigžņu balva 2020”</w:t>
      </w:r>
      <w:r w:rsidRPr="00C72BB2">
        <w:rPr>
          <w:rFonts w:asciiTheme="minorHAnsi" w:eastAsia="Times New Roman" w:hAnsiTheme="minorHAnsi" w:cstheme="minorHAnsi"/>
          <w:b/>
          <w:bCs/>
          <w:lang w:eastAsia="ru-RU"/>
        </w:rPr>
        <w:t xml:space="preserve"> ietvaros</w:t>
      </w:r>
    </w:p>
    <w:p w14:paraId="1AFFC441" w14:textId="77777777" w:rsidR="00917812" w:rsidRPr="00C72BB2" w:rsidRDefault="00917812" w:rsidP="00917812">
      <w:pPr>
        <w:rPr>
          <w:rFonts w:asciiTheme="minorHAnsi" w:eastAsia="Times New Roman" w:hAnsiTheme="minorHAnsi" w:cstheme="minorHAnsi"/>
          <w:lang w:eastAsia="ru-RU"/>
        </w:rPr>
      </w:pPr>
    </w:p>
    <w:p w14:paraId="6118C11C" w14:textId="77777777" w:rsidR="0091781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“Trīs Zvaigžņu balva 2020” tiek organizēta ar mērķi apzināt, noteikt un godināt sportistus, trenerus, komandas, organizācijas – sporta izcilības Latvijā, vienot un saliedēt Latvijas sporta nozari, kā arī stiprināt sporta nozares prestižu.</w:t>
      </w:r>
    </w:p>
    <w:p w14:paraId="0DB544AA" w14:textId="77777777" w:rsidR="00917812" w:rsidRPr="00C72BB2" w:rsidRDefault="00917812" w:rsidP="00917812">
      <w:pPr>
        <w:rPr>
          <w:rFonts w:asciiTheme="minorHAnsi" w:hAnsiTheme="minorHAnsi" w:cstheme="minorHAnsi"/>
        </w:rPr>
      </w:pPr>
    </w:p>
    <w:p w14:paraId="7E17DA09" w14:textId="77777777" w:rsidR="00917812" w:rsidRDefault="00917812" w:rsidP="00917812">
      <w:pPr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Pasākumu organizē Latvijas Republikas Izglītības un zinātnes ministrija</w:t>
      </w:r>
      <w:r>
        <w:rPr>
          <w:rFonts w:asciiTheme="minorHAnsi" w:hAnsiTheme="minorHAnsi" w:cstheme="minorHAnsi"/>
        </w:rPr>
        <w:t>, b</w:t>
      </w:r>
      <w:r w:rsidRPr="00C72BB2">
        <w:rPr>
          <w:rFonts w:asciiTheme="minorHAnsi" w:hAnsiTheme="minorHAnsi" w:cstheme="minorHAnsi"/>
        </w:rPr>
        <w:t>iedrība „Latvijas Olimpiskā komiteja” (LOK)</w:t>
      </w:r>
      <w:r>
        <w:rPr>
          <w:rFonts w:asciiTheme="minorHAnsi" w:hAnsiTheme="minorHAnsi" w:cstheme="minorHAnsi"/>
        </w:rPr>
        <w:t>, b</w:t>
      </w:r>
      <w:r w:rsidRPr="00C72BB2">
        <w:rPr>
          <w:rFonts w:asciiTheme="minorHAnsi" w:hAnsiTheme="minorHAnsi" w:cstheme="minorHAnsi"/>
        </w:rPr>
        <w:t>iedrība “Latvijas Sporta federāciju padome” (LSFP)</w:t>
      </w:r>
      <w:r>
        <w:rPr>
          <w:rFonts w:asciiTheme="minorHAnsi" w:hAnsiTheme="minorHAnsi" w:cstheme="minorHAnsi"/>
        </w:rPr>
        <w:t>, b</w:t>
      </w:r>
      <w:r w:rsidRPr="00C72BB2">
        <w:rPr>
          <w:rFonts w:asciiTheme="minorHAnsi" w:hAnsiTheme="minorHAnsi" w:cstheme="minorHAnsi"/>
        </w:rPr>
        <w:t xml:space="preserve">iedrība “Latvijas </w:t>
      </w:r>
      <w:proofErr w:type="spellStart"/>
      <w:r w:rsidRPr="00C72BB2">
        <w:rPr>
          <w:rFonts w:asciiTheme="minorHAnsi" w:hAnsiTheme="minorHAnsi" w:cstheme="minorHAnsi"/>
        </w:rPr>
        <w:t>Paralimpiskā</w:t>
      </w:r>
      <w:proofErr w:type="spellEnd"/>
      <w:r w:rsidRPr="00C72BB2">
        <w:rPr>
          <w:rFonts w:asciiTheme="minorHAnsi" w:hAnsiTheme="minorHAnsi" w:cstheme="minorHAnsi"/>
        </w:rPr>
        <w:t xml:space="preserve"> komiteja” (LPK).</w:t>
      </w:r>
    </w:p>
    <w:p w14:paraId="741498E2" w14:textId="77777777" w:rsidR="00917812" w:rsidRDefault="00917812" w:rsidP="00917812">
      <w:pPr>
        <w:rPr>
          <w:rFonts w:asciiTheme="minorHAnsi" w:hAnsiTheme="minorHAnsi" w:cstheme="minorHAnsi"/>
        </w:rPr>
      </w:pPr>
    </w:p>
    <w:p w14:paraId="5539FBA1" w14:textId="77777777" w:rsidR="00917812" w:rsidRDefault="00917812" w:rsidP="00917812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“Trīs Zvaigžņu balva 2020” apbalvošanas ceremonijā tiks pasniegtas balvas 12 nominācijās:</w:t>
      </w:r>
    </w:p>
    <w:p w14:paraId="2C772E20" w14:textId="6CC5FE8E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Sporta pedagogs/-e</w:t>
      </w:r>
    </w:p>
    <w:p w14:paraId="733144E8" w14:textId="3A4DF377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Mūža ieguldījums sportā</w:t>
      </w:r>
    </w:p>
    <w:p w14:paraId="442D7CD4" w14:textId="5B81E3A3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proofErr w:type="spellStart"/>
      <w:r w:rsidRPr="00C72BB2">
        <w:rPr>
          <w:rFonts w:asciiTheme="minorHAnsi" w:hAnsiTheme="minorHAnsi" w:cstheme="minorHAnsi"/>
        </w:rPr>
        <w:t>Paralimpiskais</w:t>
      </w:r>
      <w:proofErr w:type="spellEnd"/>
      <w:r w:rsidRPr="00C72BB2">
        <w:rPr>
          <w:rFonts w:asciiTheme="minorHAnsi" w:hAnsiTheme="minorHAnsi" w:cstheme="minorHAnsi"/>
        </w:rPr>
        <w:t xml:space="preserve"> sportists/-e</w:t>
      </w:r>
    </w:p>
    <w:p w14:paraId="201AB74C" w14:textId="2106C207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sporta federācija</w:t>
      </w:r>
    </w:p>
    <w:p w14:paraId="3BF68FC3" w14:textId="25760813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sportists</w:t>
      </w:r>
    </w:p>
    <w:p w14:paraId="7CF60BAB" w14:textId="4559B0AF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sportiste</w:t>
      </w:r>
    </w:p>
    <w:p w14:paraId="062AAB8A" w14:textId="4078BFCD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sporta komanda</w:t>
      </w:r>
    </w:p>
    <w:p w14:paraId="2E038FE5" w14:textId="7362E37A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sporta komanda individuālajos sporta veidos</w:t>
      </w:r>
    </w:p>
    <w:p w14:paraId="59B417F6" w14:textId="0EDCC6B6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treneris/-e</w:t>
      </w:r>
    </w:p>
    <w:p w14:paraId="6D08150D" w14:textId="4D498B30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izrāviens sportā</w:t>
      </w:r>
    </w:p>
    <w:p w14:paraId="6A1C8802" w14:textId="196D9C56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sporta pašvaldība</w:t>
      </w:r>
    </w:p>
    <w:p w14:paraId="639AB155" w14:textId="77777777" w:rsidR="00917812" w:rsidRPr="00C72BB2" w:rsidRDefault="00917812" w:rsidP="00917812">
      <w:pPr>
        <w:numPr>
          <w:ilvl w:val="0"/>
          <w:numId w:val="1"/>
        </w:numPr>
        <w:ind w:left="2127" w:hanging="426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Gada notikums sportā</w:t>
      </w:r>
    </w:p>
    <w:p w14:paraId="4091E657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p w14:paraId="383E76FD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Pasākuma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sagatavošanas posmā LOK saņem datus</w:t>
      </w:r>
      <w:r>
        <w:rPr>
          <w:rFonts w:asciiTheme="minorHAnsi" w:eastAsia="Times New Roman" w:hAnsiTheme="minorHAnsi" w:cstheme="minorHAnsi"/>
          <w:lang w:eastAsia="ru-RU"/>
        </w:rPr>
        <w:t xml:space="preserve"> no izvirzītājiem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par </w:t>
      </w:r>
      <w:r>
        <w:rPr>
          <w:rFonts w:asciiTheme="minorHAnsi" w:eastAsia="Times New Roman" w:hAnsiTheme="minorHAnsi" w:cstheme="minorHAnsi"/>
          <w:lang w:eastAsia="ru-RU"/>
        </w:rPr>
        <w:t>viņu virzītajiem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</w:t>
      </w:r>
      <w:proofErr w:type="spellStart"/>
      <w:r>
        <w:rPr>
          <w:rFonts w:asciiTheme="minorHAnsi" w:eastAsia="Times New Roman" w:hAnsiTheme="minorHAnsi" w:cstheme="minorHAnsi"/>
          <w:lang w:eastAsia="ru-RU"/>
        </w:rPr>
        <w:t>nominantiem</w:t>
      </w:r>
      <w:proofErr w:type="spellEnd"/>
      <w:r w:rsidRPr="00C72BB2">
        <w:rPr>
          <w:rFonts w:asciiTheme="minorHAnsi" w:eastAsia="Times New Roman" w:hAnsiTheme="minorHAnsi" w:cstheme="minorHAnsi"/>
          <w:lang w:eastAsia="ru-RU"/>
        </w:rPr>
        <w:t>, veic šādu kandidātu pieteikumu apstrādi un informācijas publiskošanu.</w:t>
      </w:r>
    </w:p>
    <w:p w14:paraId="4F67AA84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p w14:paraId="5705654A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Pasākuma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sagatavošanas, norises un pēc pasākuma laikā sabiedrības informēšanai par pasākuma plānoto norisi tiek izmantoti dažādi mediji.</w:t>
      </w:r>
    </w:p>
    <w:p w14:paraId="050BB1D6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p w14:paraId="2CB20C13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“Trīs Zvaigžņu balva 2020” organizatoriskie un svinīgie pasākumi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tiek filmēt</w:t>
      </w:r>
      <w:r>
        <w:rPr>
          <w:rFonts w:asciiTheme="minorHAnsi" w:eastAsia="Times New Roman" w:hAnsiTheme="minorHAnsi" w:cstheme="minorHAnsi"/>
          <w:lang w:eastAsia="ru-RU"/>
        </w:rPr>
        <w:t>i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un fotografēt</w:t>
      </w:r>
      <w:r>
        <w:rPr>
          <w:rFonts w:asciiTheme="minorHAnsi" w:eastAsia="Times New Roman" w:hAnsiTheme="minorHAnsi" w:cstheme="minorHAnsi"/>
          <w:lang w:eastAsia="ru-RU"/>
        </w:rPr>
        <w:t>i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. Iegūtie videoieraksti un fotogrāfijas tālāk tiek izmantoti </w:t>
      </w:r>
      <w:r>
        <w:rPr>
          <w:rFonts w:asciiTheme="minorHAnsi" w:eastAsia="Times New Roman" w:hAnsiTheme="minorHAnsi" w:cstheme="minorHAnsi"/>
          <w:lang w:eastAsia="ru-RU"/>
        </w:rPr>
        <w:t>pasākuma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atspoguļošanai medijos un sociālo tīklu platformās, kā arī LOK un tās sadarbības partneru gatavotajos promocijas materiālos.</w:t>
      </w:r>
    </w:p>
    <w:p w14:paraId="45860A9F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p w14:paraId="425247CF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  <w:r>
        <w:rPr>
          <w:rFonts w:asciiTheme="minorHAnsi" w:eastAsia="Times New Roman" w:hAnsiTheme="minorHAnsi" w:cstheme="minorHAnsi"/>
          <w:lang w:eastAsia="ru-RU"/>
        </w:rPr>
        <w:t>Pasākuma</w:t>
      </w:r>
      <w:r w:rsidRPr="00C72BB2">
        <w:rPr>
          <w:rFonts w:asciiTheme="minorHAnsi" w:eastAsia="Times New Roman" w:hAnsiTheme="minorHAnsi" w:cstheme="minorHAnsi"/>
          <w:lang w:eastAsia="ru-RU"/>
        </w:rPr>
        <w:t xml:space="preserve"> sagatavošanas, norises un pēc pasākuma periodā LOK apstrādā sekojošus fizisko personu datus attiecīgu mērķu sasniegšanai:</w:t>
      </w:r>
    </w:p>
    <w:p w14:paraId="6999A611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"/>
        <w:gridCol w:w="3179"/>
        <w:gridCol w:w="5766"/>
      </w:tblGrid>
      <w:tr w:rsidR="00917812" w:rsidRPr="00C72BB2" w14:paraId="01259062" w14:textId="77777777" w:rsidTr="004E670E">
        <w:tc>
          <w:tcPr>
            <w:tcW w:w="399" w:type="dxa"/>
            <w:shd w:val="clear" w:color="auto" w:fill="auto"/>
          </w:tcPr>
          <w:p w14:paraId="4684BA29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</w:p>
        </w:tc>
        <w:tc>
          <w:tcPr>
            <w:tcW w:w="3179" w:type="dxa"/>
            <w:shd w:val="clear" w:color="auto" w:fill="auto"/>
          </w:tcPr>
          <w:p w14:paraId="6CE68485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Dati</w:t>
            </w:r>
          </w:p>
        </w:tc>
        <w:tc>
          <w:tcPr>
            <w:tcW w:w="5766" w:type="dxa"/>
            <w:shd w:val="clear" w:color="auto" w:fill="auto"/>
          </w:tcPr>
          <w:p w14:paraId="6276C30C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Mērķis</w:t>
            </w:r>
          </w:p>
        </w:tc>
      </w:tr>
      <w:tr w:rsidR="00917812" w:rsidRPr="00C72BB2" w14:paraId="4FBFA4F2" w14:textId="77777777" w:rsidTr="004E670E">
        <w:tc>
          <w:tcPr>
            <w:tcW w:w="399" w:type="dxa"/>
            <w:shd w:val="clear" w:color="auto" w:fill="auto"/>
          </w:tcPr>
          <w:p w14:paraId="1920BE18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1.</w:t>
            </w:r>
          </w:p>
        </w:tc>
        <w:tc>
          <w:tcPr>
            <w:tcW w:w="3179" w:type="dxa"/>
            <w:shd w:val="clear" w:color="auto" w:fill="auto"/>
          </w:tcPr>
          <w:p w14:paraId="182964EE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Izvirzītāja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 un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viņu izvirzīto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nominantu</w:t>
            </w:r>
            <w:proofErr w:type="spellEnd"/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 vārds, uzvārds</w:t>
            </w:r>
          </w:p>
        </w:tc>
        <w:tc>
          <w:tcPr>
            <w:tcW w:w="5766" w:type="dxa"/>
            <w:shd w:val="clear" w:color="auto" w:fill="auto"/>
          </w:tcPr>
          <w:p w14:paraId="0711C502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Izvirzītāja un viņu izvirzīto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nominantu</w:t>
            </w:r>
            <w:proofErr w:type="spellEnd"/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 pieteikumu apstrāde;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izvirzītāja un </w:t>
            </w: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nominanta</w:t>
            </w:r>
            <w:proofErr w:type="spellEnd"/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identifikācija un reģistru nodrošināšana; sabiedrības informēšana</w:t>
            </w:r>
          </w:p>
        </w:tc>
      </w:tr>
      <w:tr w:rsidR="00917812" w:rsidRPr="00C72BB2" w14:paraId="0B103EF1" w14:textId="77777777" w:rsidTr="004E670E">
        <w:tc>
          <w:tcPr>
            <w:tcW w:w="399" w:type="dxa"/>
            <w:shd w:val="clear" w:color="auto" w:fill="auto"/>
          </w:tcPr>
          <w:p w14:paraId="0627B77D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2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.</w:t>
            </w:r>
          </w:p>
        </w:tc>
        <w:tc>
          <w:tcPr>
            <w:tcW w:w="3179" w:type="dxa"/>
            <w:shd w:val="clear" w:color="auto" w:fill="auto"/>
          </w:tcPr>
          <w:p w14:paraId="3CB6F0DB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706D21">
              <w:rPr>
                <w:rFonts w:ascii="Calibri" w:eastAsia="Times New Roman" w:hAnsi="Calibri" w:cs="Calibri"/>
                <w:lang w:eastAsia="ru-RU"/>
              </w:rPr>
              <w:t xml:space="preserve">Izvirzītāja un viņu izvirzīto </w:t>
            </w:r>
            <w:proofErr w:type="spellStart"/>
            <w:r w:rsidRPr="00706D21">
              <w:rPr>
                <w:rFonts w:ascii="Calibri" w:eastAsia="Times New Roman" w:hAnsi="Calibri" w:cs="Calibri"/>
                <w:lang w:eastAsia="ru-RU"/>
              </w:rPr>
              <w:t>nominantu</w:t>
            </w:r>
            <w:proofErr w:type="spellEnd"/>
            <w:r w:rsidRPr="00706D21">
              <w:rPr>
                <w:rFonts w:ascii="Calibri" w:eastAsia="Times New Roman" w:hAnsi="Calibri" w:cs="Calibri"/>
                <w:lang w:eastAsia="ru-RU"/>
              </w:rPr>
              <w:t xml:space="preserve"> 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dzīvesvietas adrese, tālruņa numurs un e-pasta adrese</w:t>
            </w:r>
          </w:p>
        </w:tc>
        <w:tc>
          <w:tcPr>
            <w:tcW w:w="5766" w:type="dxa"/>
            <w:shd w:val="clear" w:color="auto" w:fill="auto"/>
          </w:tcPr>
          <w:p w14:paraId="5142CF1C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Saziņas iespējas nodrošināšana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, kā arī iespējas nodrošināšana veikt balsojumu</w:t>
            </w:r>
          </w:p>
        </w:tc>
      </w:tr>
      <w:tr w:rsidR="00917812" w:rsidRPr="00C72BB2" w14:paraId="55311DC7" w14:textId="77777777" w:rsidTr="004E670E">
        <w:tc>
          <w:tcPr>
            <w:tcW w:w="399" w:type="dxa"/>
            <w:shd w:val="clear" w:color="auto" w:fill="auto"/>
          </w:tcPr>
          <w:p w14:paraId="094B47E5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3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.</w:t>
            </w:r>
          </w:p>
        </w:tc>
        <w:tc>
          <w:tcPr>
            <w:tcW w:w="3179" w:type="dxa"/>
            <w:shd w:val="clear" w:color="auto" w:fill="auto"/>
          </w:tcPr>
          <w:p w14:paraId="2811D357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lang w:eastAsia="ru-RU"/>
              </w:rPr>
              <w:t>Nominanta</w:t>
            </w:r>
            <w:proofErr w:type="spellEnd"/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 fotoportrets</w:t>
            </w:r>
          </w:p>
        </w:tc>
        <w:tc>
          <w:tcPr>
            <w:tcW w:w="5766" w:type="dxa"/>
            <w:shd w:val="clear" w:color="auto" w:fill="auto"/>
          </w:tcPr>
          <w:p w14:paraId="4EE57E75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Kandidātu pieteikumu apstrāde, sabiedrības informēšana</w:t>
            </w:r>
          </w:p>
        </w:tc>
      </w:tr>
      <w:tr w:rsidR="00917812" w:rsidRPr="00C72BB2" w14:paraId="451B0783" w14:textId="77777777" w:rsidTr="004E670E">
        <w:tc>
          <w:tcPr>
            <w:tcW w:w="399" w:type="dxa"/>
            <w:shd w:val="clear" w:color="auto" w:fill="auto"/>
          </w:tcPr>
          <w:p w14:paraId="58503BE0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4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.</w:t>
            </w:r>
          </w:p>
        </w:tc>
        <w:tc>
          <w:tcPr>
            <w:tcW w:w="3179" w:type="dxa"/>
            <w:shd w:val="clear" w:color="auto" w:fill="auto"/>
          </w:tcPr>
          <w:p w14:paraId="1915DF63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>Pasākuma norises videoieraksti un fotogrāfijas</w:t>
            </w:r>
          </w:p>
        </w:tc>
        <w:tc>
          <w:tcPr>
            <w:tcW w:w="5766" w:type="dxa"/>
            <w:shd w:val="clear" w:color="auto" w:fill="auto"/>
          </w:tcPr>
          <w:p w14:paraId="772798BA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Olimpiskās kustības popularizēšana,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TV translācijas nodrošināšana un 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sabiedrības informēšana, LOK un tās sadarbības partneru promocijas materiālu veidošana,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>“Trīs Zvaigžņu balva 2020” pasākuma</w:t>
            </w:r>
            <w:r w:rsidRPr="00C72BB2">
              <w:rPr>
                <w:rFonts w:asciiTheme="minorHAnsi" w:eastAsia="Times New Roman" w:hAnsiTheme="minorHAnsi" w:cstheme="minorHAnsi"/>
                <w:lang w:eastAsia="ru-RU"/>
              </w:rPr>
              <w:t xml:space="preserve"> dokumentēšana</w:t>
            </w:r>
          </w:p>
        </w:tc>
      </w:tr>
      <w:tr w:rsidR="00917812" w:rsidRPr="00C72BB2" w14:paraId="460572AE" w14:textId="77777777" w:rsidTr="004E670E">
        <w:tc>
          <w:tcPr>
            <w:tcW w:w="399" w:type="dxa"/>
            <w:shd w:val="clear" w:color="auto" w:fill="auto"/>
          </w:tcPr>
          <w:p w14:paraId="38FC14D1" w14:textId="77777777" w:rsidR="0091781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lastRenderedPageBreak/>
              <w:t>5.</w:t>
            </w:r>
          </w:p>
        </w:tc>
        <w:tc>
          <w:tcPr>
            <w:tcW w:w="3179" w:type="dxa"/>
            <w:shd w:val="clear" w:color="auto" w:fill="auto"/>
          </w:tcPr>
          <w:p w14:paraId="39B762CE" w14:textId="072180F3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Sabiedrības pārstāvju</w:t>
            </w:r>
            <w:r w:rsidR="00FF68EC">
              <w:rPr>
                <w:rFonts w:asciiTheme="minorHAnsi" w:eastAsia="Times New Roman" w:hAnsiTheme="minorHAnsi" w:cstheme="minorHAnsi"/>
                <w:lang w:eastAsia="ru-RU"/>
              </w:rPr>
              <w:t xml:space="preserve"> - balsotāju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 e-pasta adres</w:t>
            </w:r>
            <w:r w:rsidR="00FF68EC">
              <w:rPr>
                <w:rFonts w:asciiTheme="minorHAnsi" w:eastAsia="Times New Roman" w:hAnsiTheme="minorHAnsi" w:cstheme="minorHAnsi"/>
                <w:lang w:eastAsia="ru-RU"/>
              </w:rPr>
              <w:t>es</w:t>
            </w:r>
          </w:p>
        </w:tc>
        <w:tc>
          <w:tcPr>
            <w:tcW w:w="5766" w:type="dxa"/>
            <w:shd w:val="clear" w:color="auto" w:fill="auto"/>
          </w:tcPr>
          <w:p w14:paraId="4B563A3F" w14:textId="77777777" w:rsidR="00917812" w:rsidRPr="00C72BB2" w:rsidRDefault="00917812" w:rsidP="00753FCE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Lai nodrošinātu sabiedrības balsojuma </w:t>
            </w:r>
            <w:r w:rsidRPr="00706D21">
              <w:rPr>
                <w:rFonts w:ascii="Calibri" w:eastAsia="Times New Roman" w:hAnsi="Calibri" w:cs="Calibri"/>
                <w:lang w:eastAsia="ru-RU"/>
              </w:rPr>
              <w:t xml:space="preserve">uzticamību </w:t>
            </w:r>
            <w:r>
              <w:rPr>
                <w:rFonts w:asciiTheme="minorHAnsi" w:eastAsia="Times New Roman" w:hAnsiTheme="minorHAnsi" w:cstheme="minorHAnsi"/>
                <w:lang w:eastAsia="ru-RU"/>
              </w:rPr>
              <w:t xml:space="preserve">mājaslapā “triszvaigznubalva.lv”, sabiedrības pārstāvjiem ir jānorāda sava e-pasta adrese. Katrs sabiedrības pārstāvis drīkst balsot vienu reizi dienā no vienas e-pasta adreses. </w:t>
            </w:r>
          </w:p>
        </w:tc>
      </w:tr>
    </w:tbl>
    <w:p w14:paraId="5A0D5759" w14:textId="77777777" w:rsidR="00917812" w:rsidRPr="00C72BB2" w:rsidRDefault="00917812" w:rsidP="00917812">
      <w:pPr>
        <w:shd w:val="clear" w:color="auto" w:fill="FFFFFF"/>
        <w:jc w:val="both"/>
        <w:rPr>
          <w:rFonts w:asciiTheme="minorHAnsi" w:eastAsia="Times New Roman" w:hAnsiTheme="minorHAnsi" w:cstheme="minorHAnsi"/>
          <w:lang w:eastAsia="ru-RU"/>
        </w:rPr>
      </w:pPr>
    </w:p>
    <w:p w14:paraId="4CDCDEE0" w14:textId="6CCF0DB8" w:rsidR="00917812" w:rsidRDefault="00917812" w:rsidP="00917812">
      <w:pPr>
        <w:jc w:val="both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 xml:space="preserve">Augstākminētie fizisku personu dati tiek iegūti saņemot </w:t>
      </w:r>
      <w:r>
        <w:rPr>
          <w:rFonts w:asciiTheme="minorHAnsi" w:hAnsiTheme="minorHAnsi" w:cstheme="minorHAnsi"/>
        </w:rPr>
        <w:t>izvirzītāju</w:t>
      </w:r>
      <w:r w:rsidRPr="00C72BB2">
        <w:rPr>
          <w:rFonts w:asciiTheme="minorHAnsi" w:hAnsiTheme="minorHAnsi" w:cstheme="minorHAnsi"/>
        </w:rPr>
        <w:t xml:space="preserve"> pieteikumus un tiem pievienotos materiālus pirms pasākuma, </w:t>
      </w:r>
      <w:r w:rsidR="00FF68EC">
        <w:rPr>
          <w:rFonts w:asciiTheme="minorHAnsi" w:hAnsiTheme="minorHAnsi" w:cstheme="minorHAnsi"/>
        </w:rPr>
        <w:t xml:space="preserve">veicot balsojumu pasākuma ietvaros, </w:t>
      </w:r>
      <w:r w:rsidRPr="00C72BB2">
        <w:rPr>
          <w:rFonts w:asciiTheme="minorHAnsi" w:hAnsiTheme="minorHAnsi" w:cstheme="minorHAnsi"/>
        </w:rPr>
        <w:t xml:space="preserve">kā arī veicot pasākuma video un foto fiksāciju. Iegūtie dati tiek izmantoti tikai augstākminēto mērķu sasniegšanai. Dati, kas netiek tālāk izmantoti </w:t>
      </w:r>
      <w:r w:rsidR="00FF68EC">
        <w:rPr>
          <w:rFonts w:asciiTheme="minorHAnsi" w:hAnsiTheme="minorHAnsi" w:cstheme="minorHAnsi"/>
        </w:rPr>
        <w:t>personu</w:t>
      </w:r>
      <w:r w:rsidRPr="00C72BB2">
        <w:rPr>
          <w:rFonts w:asciiTheme="minorHAnsi" w:hAnsiTheme="minorHAnsi" w:cstheme="minorHAnsi"/>
        </w:rPr>
        <w:t xml:space="preserve"> identificēšanai un reģistru nodrošināšanai, kā arī saziņas nodrošināšanai ar t</w:t>
      </w:r>
      <w:r w:rsidR="00FF68EC">
        <w:rPr>
          <w:rFonts w:asciiTheme="minorHAnsi" w:hAnsiTheme="minorHAnsi" w:cstheme="minorHAnsi"/>
        </w:rPr>
        <w:t>ām</w:t>
      </w:r>
      <w:r w:rsidRPr="00C72BB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pasākuma</w:t>
      </w:r>
      <w:r w:rsidRPr="00C72BB2">
        <w:rPr>
          <w:rFonts w:asciiTheme="minorHAnsi" w:hAnsiTheme="minorHAnsi" w:cstheme="minorHAnsi"/>
        </w:rPr>
        <w:t xml:space="preserve"> dokumentēšanai, promocijas materiālu veidošanai un Olimpiskās kustības popularizēšanai, tiek dzēsti. Sagatavotie promocijas materiāli – foto, video un dokumentālie, var tikt publicēti medijos un sociālo tīklu platformās</w:t>
      </w:r>
    </w:p>
    <w:p w14:paraId="5E4E3318" w14:textId="790B10A2" w:rsidR="004E670E" w:rsidRDefault="004E670E" w:rsidP="00917812">
      <w:pPr>
        <w:jc w:val="both"/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5"/>
        <w:gridCol w:w="5916"/>
      </w:tblGrid>
      <w:tr w:rsidR="004E670E" w14:paraId="2016B833" w14:textId="77777777" w:rsidTr="00C43C79">
        <w:tc>
          <w:tcPr>
            <w:tcW w:w="3255" w:type="dxa"/>
            <w:shd w:val="clear" w:color="auto" w:fill="auto"/>
          </w:tcPr>
          <w:p w14:paraId="71A542A9" w14:textId="77777777" w:rsidR="004E670E" w:rsidRDefault="004E670E" w:rsidP="00C43C79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Datu glabāšanas laiks</w:t>
            </w:r>
          </w:p>
        </w:tc>
        <w:tc>
          <w:tcPr>
            <w:tcW w:w="5916" w:type="dxa"/>
            <w:shd w:val="clear" w:color="auto" w:fill="auto"/>
          </w:tcPr>
          <w:p w14:paraId="6BFB3B16" w14:textId="77777777" w:rsidR="004E670E" w:rsidRDefault="004E670E" w:rsidP="00C43C79">
            <w:pPr>
              <w:jc w:val="both"/>
              <w:rPr>
                <w:rFonts w:asciiTheme="minorHAnsi" w:eastAsia="Times New Roman" w:hAnsiTheme="minorHAnsi" w:cstheme="minorHAnsi"/>
                <w:lang w:eastAsia="ru-RU"/>
              </w:rPr>
            </w:pPr>
            <w:r>
              <w:rPr>
                <w:rFonts w:asciiTheme="minorHAnsi" w:eastAsia="Times New Roman" w:hAnsiTheme="minorHAnsi" w:cstheme="minorHAnsi"/>
                <w:lang w:eastAsia="ru-RU"/>
              </w:rPr>
              <w:t>Visi saņemtie dati, izņemot sabiedrības pārstāvju balsotāju e-pasta adreses, tiek glabāti pastāvīgi. Visas saņemtās E-pasta adreses tiek dzēstas viena mēneša laikā.</w:t>
            </w:r>
          </w:p>
        </w:tc>
      </w:tr>
    </w:tbl>
    <w:p w14:paraId="505F26A5" w14:textId="77777777" w:rsidR="00917812" w:rsidRPr="00C72BB2" w:rsidRDefault="00917812" w:rsidP="00917812">
      <w:pPr>
        <w:jc w:val="both"/>
        <w:rPr>
          <w:rFonts w:asciiTheme="minorHAnsi" w:hAnsiTheme="minorHAnsi" w:cstheme="minorHAnsi"/>
        </w:rPr>
      </w:pPr>
    </w:p>
    <w:p w14:paraId="6D5A57AA" w14:textId="77777777" w:rsidR="00917812" w:rsidRPr="00C72BB2" w:rsidRDefault="00917812" w:rsidP="00917812">
      <w:pPr>
        <w:jc w:val="both"/>
        <w:rPr>
          <w:rFonts w:asciiTheme="minorHAnsi" w:hAnsiTheme="minorHAnsi" w:cstheme="minorHAnsi"/>
        </w:rPr>
      </w:pPr>
      <w:r w:rsidRPr="00C72BB2">
        <w:rPr>
          <w:rFonts w:asciiTheme="minorHAnsi" w:hAnsiTheme="minorHAnsi" w:cstheme="minorHAnsi"/>
        </w:rPr>
        <w:t>Augstākminētie fizisku personu dati tiek apstrādāti LOK saistošos ārējos normatīvajos aktos, tai skaitā un jo īpaši Sporta likumā un Biedrību un nodibinājumu likumā, noteiktu pienākumu izpildei.</w:t>
      </w:r>
    </w:p>
    <w:p w14:paraId="3DE1F8CA" w14:textId="77777777" w:rsidR="00917812" w:rsidRPr="00C72BB2" w:rsidRDefault="00917812" w:rsidP="00917812">
      <w:pPr>
        <w:jc w:val="both"/>
        <w:rPr>
          <w:rFonts w:asciiTheme="minorHAnsi" w:hAnsiTheme="minorHAnsi" w:cstheme="minorHAnsi"/>
        </w:rPr>
      </w:pPr>
    </w:p>
    <w:p w14:paraId="211223BE" w14:textId="77777777" w:rsidR="00917812" w:rsidRPr="00C72BB2" w:rsidRDefault="00917812" w:rsidP="00917812">
      <w:pPr>
        <w:jc w:val="both"/>
        <w:rPr>
          <w:rFonts w:asciiTheme="minorHAnsi" w:eastAsia="Times New Roman" w:hAnsiTheme="minorHAnsi" w:cstheme="minorHAnsi"/>
          <w:lang w:eastAsia="ru-RU"/>
        </w:rPr>
      </w:pPr>
      <w:r w:rsidRPr="00C72BB2">
        <w:rPr>
          <w:rFonts w:asciiTheme="minorHAnsi" w:hAnsiTheme="minorHAnsi" w:cstheme="minorHAnsi"/>
        </w:rPr>
        <w:t xml:space="preserve">Datu pārzinis – </w:t>
      </w:r>
      <w:r w:rsidRPr="00C72BB2">
        <w:rPr>
          <w:rFonts w:asciiTheme="minorHAnsi" w:eastAsia="Times New Roman" w:hAnsiTheme="minorHAnsi" w:cstheme="minorHAnsi"/>
          <w:lang w:eastAsia="ru-RU"/>
        </w:rPr>
        <w:t>Biedrība “Latvijas Olimpiskā komiteja”, Elizabetes iela 49, Rīga, LV-1010</w:t>
      </w:r>
    </w:p>
    <w:p w14:paraId="4FF1F901" w14:textId="77777777" w:rsidR="00917812" w:rsidRPr="00C72BB2" w:rsidRDefault="00917812" w:rsidP="00917812">
      <w:pPr>
        <w:jc w:val="both"/>
        <w:rPr>
          <w:rFonts w:asciiTheme="minorHAnsi" w:eastAsia="Times New Roman" w:hAnsiTheme="minorHAnsi" w:cstheme="minorHAnsi"/>
          <w:lang w:eastAsia="ru-RU"/>
        </w:rPr>
      </w:pPr>
      <w:r w:rsidRPr="00C72BB2">
        <w:rPr>
          <w:rFonts w:asciiTheme="minorHAnsi" w:eastAsia="Times New Roman" w:hAnsiTheme="minorHAnsi" w:cstheme="minorHAnsi"/>
          <w:lang w:eastAsia="ru-RU"/>
        </w:rPr>
        <w:t>Saziņai personas datu apstrādes jautājumos lūdzam izmantot e-pasta adresi: manidati@olimpiade.lv</w:t>
      </w:r>
    </w:p>
    <w:p w14:paraId="10EA720F" w14:textId="77777777" w:rsidR="00917812" w:rsidRPr="00C72BB2" w:rsidRDefault="00917812" w:rsidP="00917812">
      <w:pPr>
        <w:jc w:val="both"/>
        <w:rPr>
          <w:rFonts w:asciiTheme="minorHAnsi" w:eastAsia="Times New Roman" w:hAnsiTheme="minorHAnsi" w:cstheme="minorHAnsi"/>
          <w:lang w:eastAsia="ru-RU"/>
        </w:rPr>
      </w:pPr>
    </w:p>
    <w:p w14:paraId="0D2662FF" w14:textId="77777777" w:rsidR="00917812" w:rsidRPr="00C72BB2" w:rsidRDefault="00917812" w:rsidP="00917812">
      <w:pPr>
        <w:jc w:val="both"/>
        <w:rPr>
          <w:rFonts w:asciiTheme="minorHAnsi" w:eastAsia="Times New Roman" w:hAnsiTheme="minorHAnsi" w:cstheme="minorHAnsi"/>
          <w:lang w:eastAsia="ru-RU"/>
        </w:rPr>
      </w:pPr>
      <w:r w:rsidRPr="00C72BB2">
        <w:rPr>
          <w:rFonts w:asciiTheme="minorHAnsi" w:eastAsia="Times New Roman" w:hAnsiTheme="minorHAnsi" w:cstheme="minorHAnsi"/>
          <w:lang w:eastAsia="ru-RU"/>
        </w:rPr>
        <w:t xml:space="preserve">Ar LOK Privātuma politiku iespējams iepazīties, sekojot saitei: </w:t>
      </w:r>
      <w:hyperlink r:id="rId5" w:history="1">
        <w:r w:rsidRPr="00C72BB2">
          <w:rPr>
            <w:rStyle w:val="Hyperlink"/>
            <w:rFonts w:asciiTheme="minorHAnsi" w:eastAsia="Times New Roman" w:hAnsiTheme="minorHAnsi" w:cstheme="minorHAnsi"/>
            <w:lang w:eastAsia="ru-RU"/>
          </w:rPr>
          <w:t>http://olimpiade.lv/lv/lok/privatuma-politika</w:t>
        </w:r>
      </w:hyperlink>
    </w:p>
    <w:p w14:paraId="178DAF35" w14:textId="77777777" w:rsidR="00917812" w:rsidRDefault="00917812"/>
    <w:sectPr w:rsidR="00917812" w:rsidSect="0096559E">
      <w:pgSz w:w="11906" w:h="16838"/>
      <w:pgMar w:top="1135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29D77CFB" w:usb2="00000012" w:usb3="00000000" w:csb0="0008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641196"/>
    <w:multiLevelType w:val="hybridMultilevel"/>
    <w:tmpl w:val="AE604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812"/>
    <w:rsid w:val="0041357B"/>
    <w:rsid w:val="004E670E"/>
    <w:rsid w:val="008955EB"/>
    <w:rsid w:val="00917812"/>
    <w:rsid w:val="00DC7CBD"/>
    <w:rsid w:val="00FF6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V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D69997"/>
  <w15:chartTrackingRefBased/>
  <w15:docId w15:val="{EC6EBD4D-F3B2-884A-8549-490663189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670E"/>
    <w:rPr>
      <w:rFonts w:ascii="Times New Roman" w:eastAsia="Calibri" w:hAnsi="Times New Roman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1781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limpiade.lv/lv/lok/privatuma-politik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Mārtiņš Mālmeisters</dc:creator>
  <cp:keywords/>
  <dc:description/>
  <cp:lastModifiedBy>Raitis Keselis</cp:lastModifiedBy>
  <cp:revision>5</cp:revision>
  <dcterms:created xsi:type="dcterms:W3CDTF">2020-10-29T11:24:00Z</dcterms:created>
  <dcterms:modified xsi:type="dcterms:W3CDTF">2020-10-30T08:59:00Z</dcterms:modified>
</cp:coreProperties>
</file>